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color w:val="1F3864"/>
          <w:sz w:val="34"/>
          <w:szCs w:val="34"/>
        </w:rPr>
        <w:t xml:space="preserve">CATHERINE J. SIDOTI</w:t>
      </w:r>
    </w:p>
    <w:p>
      <w:pPr>
        <w:spacing w:after="20"/>
        <w:jc w:val="center"/>
      </w:pPr>
      <w:r>
        <w:rPr>
          <w:rFonts w:ascii="Calibri" w:cs="Calibri" w:eastAsia="Calibri" w:hAnsi="Calibri"/>
          <w:i/>
          <w:iCs/>
          <w:color w:val="333333"/>
          <w:sz w:val="22"/>
          <w:szCs w:val="22"/>
        </w:rPr>
        <w:t xml:space="preserve">Executive &amp; Leadership Coach | Organizational Psychologist (Ph.D.)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New York City  |  917-379-4384  |  catherinejsidoti@gmail.com  |  LinkedIn</w:t>
      </w:r>
    </w:p>
    <w:p>
      <w:pPr>
        <w:pBdr>
          <w:bottom w:val="single" w:color="1F3864" w:sz="6" w:space="4"/>
        </w:pBdr>
        <w:spacing w:after="160"/>
      </w:pP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Executive coach and organizational psychologist with a doctorate in Industrial-Organizational Psychology and a decade of experience coaching executives, teams, and individuals to improve leadership effectiveness, performance, and business outcomes. Combines formal training in workplace psychology with hands-on experience leading and developing large teams (up to 110 staff), delivering interview and communication coaching, and advising leaders across healthcare, dental, technology, real estate, and workforce-development sectors. Skilled in one-on-one and group coaching, performance management, soft-skills and readiness training, and translating psychological insight into measurable business results.</w:t>
      </w: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CORE COMPETENCIES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Executive &amp; Leadership Coaching:  Executive Coaching, Team Coaching, Leadership Development, Performance Coaching, Interview &amp; Readiness Coaching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Organizational Psychology:  I-O Psychology, Workplace Behavior, Performance Management, Organizational Development, Change 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Training &amp; Facilitation:  Soft-Skills Training, Workshop Design &amp; Delivery, Communication Coaching, Workforce Development, Employer Relations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Business &amp; Stakeholder Leadership:  Team Leadership, Stakeholder Management, Consultative Advising, Multi-Office &amp; Multinational Operations</w:t>
      </w: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EXPERIENCE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Placement Coordinator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Goodwill Industries Mission PACE NY NJ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Mar 2026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Design and deliver soft-skills coaching in body language, role-playing, interview readiness, and workplace communication for job-seeking clients.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Coach candidates one-on-one on interview performance and job readiness, improving retention and employment outcomes.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Place entry-level IT help desk program graduates into employment, using Salesforce and M-Talent to support coaching and placement operations.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Attend job fairs, conferences, and employer events to build coaching partnerships and expand placement opportunities.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Performance Operations Lead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New York Family Dentistry LLC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Jun 2023 – Mar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Coached and advised dental personnel across multiple offices, improving individual and team performance as part of the operations leadership team.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Improved sales productivity by 33% through targeted performance coaching and talent development initiatives.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Managed a staff of 110, leading recruiting, coaching, and professional development to strengthen leadership bench strength and productivity.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Sustained 80%–100% quota attainment by aligning coaching, staffing, and performance management with revenue goals.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Increased year-over-year revenue by 20% through forecasting, operational oversight, and team accountability coaching.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Sales Development Manager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VOQUZ Labs, Inc.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Jun 2022 – Jun 2023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Coached and managed a multinational sales development team across the United States and South America, generating $1.2M in revenue.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Partnered with global stakeholders to align strategy and coach teams toward complex, enterprise-level client needs.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Advised and mentored account representatives on consultative selling to Fortune 500, airport, OEM, and telecom clients.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Business Development Consultant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City5 Consulting, LLC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Jul 2021 – Jul 2022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Advised New York City developers on complex tax-incentive strategy, translating technical guidance into actionable client decisions.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Built and managed client relationships requiring consultative, trust-based advising over long sales cycles.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Generated $900K in annual revenue through tailored, one-on-one client advisement.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Director of Business Development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New Frontiers in Learning, LLC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Dec 2019 – Jun 2021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Delivered executive function coaching to clients with ADHD, applying psychological principles to support focus, planning, and performance.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Adapted coaching delivery to virtual formats (Zoom, Microsoft Teams, Google Meet) during the COVID-19 period, sustaining engagement and outcomes.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Generated $650K in six months while balancing business development with direct client coaching.</w:t>
      </w:r>
    </w:p>
    <w:p>
      <w:pPr>
        <w:tabs>
          <w:tab w:val="right" w:pos="9360"/>
        </w:tabs>
        <w:spacing w:after="20" w:before="18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Organizational Business Consultant &amp; Coach</w:t>
      </w: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  |  Sidoti Enterprises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Jun 2017 – Dec 2019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Founded and operated an independent consulting and executive coaching practice.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Coached executives and teams at organizations including Dow, Motorola, and Chevron to improve leadership effectiveness and business outcomes.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Generated $9M in cumulative revenue through B2B consulting and executive coaching engagements.</w:t>
      </w: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spacing w:after="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Doctorate, Industrial-Organizational Psychology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—  Grand Canyon University  |  GPA 3.88</w:t>
      </w:r>
    </w:p>
    <w:p>
      <w:pPr>
        <w:spacing w:after="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Master of Arts, Industrial-Organizational Psychology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—  Touro University  |  GPA 4.0</w:t>
      </w:r>
    </w:p>
    <w:p>
      <w:pPr>
        <w:spacing w:after="1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Arts, Psychology</w:t>
      </w:r>
      <w:r>
        <w:rPr>
          <w:rFonts w:ascii="Calibri" w:cs="Calibri" w:eastAsia="Calibri" w:hAnsi="Calibri"/>
          <w:color w:val="555555"/>
          <w:sz w:val="21"/>
          <w:szCs w:val="21"/>
        </w:rPr>
        <w:t xml:space="preserve">  —  Hunter College, City University of New York  |  GPA 3.2</w:t>
      </w: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IOC Coaching in Healthcare — May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Coursera AI Certification — February 2026</w:t>
      </w:r>
    </w:p>
    <w:p>
      <w:pPr>
        <w:pBdr>
          <w:bottom w:val="single" w:color="1F3864" w:sz="4" w:space="2"/>
        </w:pBdr>
        <w:spacing w:after="80" w:before="28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Italian (Professional Proficiency)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Spanish (Elementary Proficiency)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2026-09-04T17:24:07.533Z</dcterms:created>
  <dcterms:modified xsi:type="dcterms:W3CDTF">2026-09-04T17:24:07.545Z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